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5C8B9"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007CB5"/>
          <w:sz w:val="21"/>
          <w:szCs w:val="21"/>
          <w:lang w:eastAsia="fr-FR"/>
        </w:rPr>
        <w:t>Missions Principales</w:t>
      </w:r>
    </w:p>
    <w:p w14:paraId="0DA2440A"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2518FD84" w14:textId="11BAD8AC"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xml:space="preserve">• Assurer en coordination avec les autres structures statistiques publiques la </w:t>
      </w:r>
      <w:r w:rsidRPr="004743DB">
        <w:rPr>
          <w:rFonts w:ascii="Arial" w:eastAsia="Times New Roman" w:hAnsi="Arial" w:cs="Arial"/>
          <w:color w:val="696969"/>
          <w:sz w:val="18"/>
          <w:szCs w:val="18"/>
          <w:lang w:eastAsia="fr-FR"/>
        </w:rPr>
        <w:t>collecte,</w:t>
      </w:r>
      <w:r w:rsidRPr="004743DB">
        <w:rPr>
          <w:rFonts w:ascii="Arial" w:eastAsia="Times New Roman" w:hAnsi="Arial" w:cs="Arial"/>
          <w:color w:val="696969"/>
          <w:sz w:val="18"/>
          <w:szCs w:val="18"/>
          <w:lang w:eastAsia="fr-FR"/>
        </w:rPr>
        <w:t xml:space="preserve"> le traitement, l'analyse et la diffusion de l'information statistique.</w:t>
      </w:r>
    </w:p>
    <w:p w14:paraId="4AC2682D"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Mener des recensements, des enquêtes démographiques, sociales et économiques.</w:t>
      </w:r>
    </w:p>
    <w:p w14:paraId="1F235B2B"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Elaborer les comptes de la nation selon ses différentes dimensions (nationale, trimestrielle)</w:t>
      </w:r>
    </w:p>
    <w:p w14:paraId="2A6D4BC7"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Elaborer les indicateurs de conjoncture économique et assurer le suivi et l'analyse de la conjoncture.</w:t>
      </w:r>
    </w:p>
    <w:p w14:paraId="3E00CBE3"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Organiser la documentation statistique nationale en rassemblant les données produites par les structures du système national de la statistique</w:t>
      </w:r>
    </w:p>
    <w:p w14:paraId="3F9A9EF4"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Assurer la coordination technique des activités statistiques publiques.</w:t>
      </w:r>
    </w:p>
    <w:p w14:paraId="29D0C82A"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Assurer le secrétariat permanent du conseil national statistique.</w:t>
      </w:r>
    </w:p>
    <w:p w14:paraId="499BBEB6"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Organiser la coopération internationale dans le domaine statistique</w:t>
      </w:r>
    </w:p>
    <w:p w14:paraId="76F02295"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w:t>
      </w:r>
    </w:p>
    <w:p w14:paraId="756B9F7E"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          Au niveau central </w:t>
      </w:r>
      <w:r w:rsidRPr="004743DB">
        <w:rPr>
          <w:rFonts w:ascii="Arial" w:eastAsia="Times New Roman" w:hAnsi="Arial" w:cs="Arial"/>
          <w:color w:val="696969"/>
          <w:sz w:val="18"/>
          <w:szCs w:val="18"/>
          <w:lang w:eastAsia="fr-FR"/>
        </w:rPr>
        <w:t>: l'</w:t>
      </w:r>
      <w:r w:rsidRPr="004743DB">
        <w:rPr>
          <w:rFonts w:ascii="Arial" w:eastAsia="Times New Roman" w:hAnsi="Arial" w:cs="Arial"/>
          <w:b/>
          <w:bCs/>
          <w:color w:val="696969"/>
          <w:sz w:val="18"/>
          <w:szCs w:val="18"/>
          <w:lang w:eastAsia="fr-FR"/>
        </w:rPr>
        <w:t>INS</w:t>
      </w:r>
      <w:r w:rsidRPr="004743DB">
        <w:rPr>
          <w:rFonts w:ascii="Arial" w:eastAsia="Times New Roman" w:hAnsi="Arial" w:cs="Arial"/>
          <w:color w:val="696969"/>
          <w:sz w:val="18"/>
          <w:szCs w:val="18"/>
          <w:lang w:eastAsia="fr-FR"/>
        </w:rPr>
        <w:t> est constitué de 7 directions centrales : 6 directions centrales techniques qui assurent l'activité de conception et de suivi et de réalisation des travaux de production et de diffusion de l'information statistique, et une direction centrale regroupant les services communs. En outre deux structures sont rattachées directement à la Direction générale de l'INS :</w:t>
      </w:r>
    </w:p>
    <w:p w14:paraId="3CD29E3C" w14:textId="75936988" w:rsidR="004743DB" w:rsidRPr="004743DB" w:rsidRDefault="004743DB" w:rsidP="004743DB">
      <w:pPr>
        <w:shd w:val="clear" w:color="auto" w:fill="FFFFFF"/>
        <w:spacing w:after="0" w:line="240" w:lineRule="auto"/>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Le Secrétariat Permanent du Conseil National de la Statistique </w:t>
      </w:r>
      <w:r w:rsidRPr="004743DB">
        <w:rPr>
          <w:rFonts w:ascii="Arial" w:eastAsia="Times New Roman" w:hAnsi="Arial" w:cs="Arial"/>
          <w:color w:val="696969"/>
          <w:sz w:val="18"/>
          <w:szCs w:val="18"/>
          <w:lang w:eastAsia="fr-FR"/>
        </w:rPr>
        <w:br/>
        <w:t xml:space="preserve">• L’Observatoire de la Conjoncture </w:t>
      </w:r>
      <w:r w:rsidRPr="004743DB">
        <w:rPr>
          <w:rFonts w:ascii="Arial" w:eastAsia="Times New Roman" w:hAnsi="Arial" w:cs="Arial"/>
          <w:color w:val="696969"/>
          <w:sz w:val="18"/>
          <w:szCs w:val="18"/>
          <w:lang w:eastAsia="fr-FR"/>
        </w:rPr>
        <w:t>Economique.</w:t>
      </w:r>
    </w:p>
    <w:p w14:paraId="770D2834" w14:textId="77777777" w:rsidR="004743DB" w:rsidRPr="004743DB" w:rsidRDefault="004743DB" w:rsidP="004743DB">
      <w:pPr>
        <w:shd w:val="clear" w:color="auto" w:fill="FFFFFF"/>
        <w:spacing w:after="0" w:line="240" w:lineRule="auto"/>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Les directions centrales : </w:t>
      </w:r>
    </w:p>
    <w:p w14:paraId="4ECC4CE0" w14:textId="65B66E62" w:rsidR="004743DB" w:rsidRPr="004743DB" w:rsidRDefault="004743DB" w:rsidP="004743DB">
      <w:pPr>
        <w:shd w:val="clear" w:color="auto" w:fill="FFFFFF"/>
        <w:spacing w:after="0" w:line="240" w:lineRule="auto"/>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D.C des statistiques démographiques et sociales. </w:t>
      </w:r>
      <w:r w:rsidRPr="004743DB">
        <w:rPr>
          <w:rFonts w:ascii="Arial" w:eastAsia="Times New Roman" w:hAnsi="Arial" w:cs="Arial"/>
          <w:color w:val="696969"/>
          <w:sz w:val="18"/>
          <w:szCs w:val="18"/>
          <w:lang w:eastAsia="fr-FR"/>
        </w:rPr>
        <w:br/>
        <w:t xml:space="preserve">• D.C des statistiques </w:t>
      </w:r>
      <w:r w:rsidRPr="004743DB">
        <w:rPr>
          <w:rFonts w:ascii="Arial" w:eastAsia="Times New Roman" w:hAnsi="Arial" w:cs="Arial"/>
          <w:color w:val="696969"/>
          <w:sz w:val="18"/>
          <w:szCs w:val="18"/>
          <w:lang w:eastAsia="fr-FR"/>
        </w:rPr>
        <w:t>d’entreprises</w:t>
      </w:r>
      <w:r w:rsidRPr="004743DB">
        <w:rPr>
          <w:rFonts w:ascii="Arial" w:eastAsia="Times New Roman" w:hAnsi="Arial" w:cs="Arial"/>
          <w:color w:val="696969"/>
          <w:sz w:val="18"/>
          <w:szCs w:val="18"/>
          <w:lang w:eastAsia="fr-FR"/>
        </w:rPr>
        <w:t>. </w:t>
      </w:r>
      <w:r w:rsidRPr="004743DB">
        <w:rPr>
          <w:rFonts w:ascii="Arial" w:eastAsia="Times New Roman" w:hAnsi="Arial" w:cs="Arial"/>
          <w:color w:val="696969"/>
          <w:sz w:val="18"/>
          <w:szCs w:val="18"/>
          <w:lang w:eastAsia="fr-FR"/>
        </w:rPr>
        <w:br/>
        <w:t>• D.C de la comptabilité nationale. </w:t>
      </w:r>
      <w:r w:rsidRPr="004743DB">
        <w:rPr>
          <w:rFonts w:ascii="Arial" w:eastAsia="Times New Roman" w:hAnsi="Arial" w:cs="Arial"/>
          <w:color w:val="696969"/>
          <w:sz w:val="18"/>
          <w:szCs w:val="18"/>
          <w:lang w:eastAsia="fr-FR"/>
        </w:rPr>
        <w:br/>
        <w:t>• D.C des statistiques de la conjoncture et des études économiques. </w:t>
      </w:r>
      <w:r w:rsidRPr="004743DB">
        <w:rPr>
          <w:rFonts w:ascii="Arial" w:eastAsia="Times New Roman" w:hAnsi="Arial" w:cs="Arial"/>
          <w:color w:val="696969"/>
          <w:sz w:val="18"/>
          <w:szCs w:val="18"/>
          <w:lang w:eastAsia="fr-FR"/>
        </w:rPr>
        <w:br/>
        <w:t>• D.C des statistiques régionales. </w:t>
      </w:r>
      <w:r w:rsidRPr="004743DB">
        <w:rPr>
          <w:rFonts w:ascii="Arial" w:eastAsia="Times New Roman" w:hAnsi="Arial" w:cs="Arial"/>
          <w:color w:val="696969"/>
          <w:sz w:val="18"/>
          <w:szCs w:val="18"/>
          <w:lang w:eastAsia="fr-FR"/>
        </w:rPr>
        <w:br/>
        <w:t xml:space="preserve">• D.C de la </w:t>
      </w:r>
      <w:r w:rsidRPr="004743DB">
        <w:rPr>
          <w:rFonts w:ascii="Arial" w:eastAsia="Times New Roman" w:hAnsi="Arial" w:cs="Arial"/>
          <w:color w:val="696969"/>
          <w:sz w:val="18"/>
          <w:szCs w:val="18"/>
          <w:lang w:eastAsia="fr-FR"/>
        </w:rPr>
        <w:t>diffusion,</w:t>
      </w:r>
      <w:r w:rsidRPr="004743DB">
        <w:rPr>
          <w:rFonts w:ascii="Arial" w:eastAsia="Times New Roman" w:hAnsi="Arial" w:cs="Arial"/>
          <w:color w:val="696969"/>
          <w:sz w:val="18"/>
          <w:szCs w:val="18"/>
          <w:lang w:eastAsia="fr-FR"/>
        </w:rPr>
        <w:t xml:space="preserve"> informatique et coordination.</w:t>
      </w:r>
    </w:p>
    <w:p w14:paraId="0EADFC21" w14:textId="77777777" w:rsidR="004743DB" w:rsidRPr="004743DB" w:rsidRDefault="004743DB" w:rsidP="004743DB">
      <w:pPr>
        <w:shd w:val="clear" w:color="auto" w:fill="FFFFFF"/>
        <w:spacing w:after="0" w:line="240" w:lineRule="auto"/>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43AE2DCB"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Au niveau régional : l'INS </w:t>
      </w:r>
      <w:r w:rsidRPr="004743DB">
        <w:rPr>
          <w:rFonts w:ascii="Arial" w:eastAsia="Times New Roman" w:hAnsi="Arial" w:cs="Arial"/>
          <w:color w:val="696969"/>
          <w:sz w:val="18"/>
          <w:szCs w:val="18"/>
          <w:lang w:eastAsia="fr-FR"/>
        </w:rPr>
        <w:t>est représenté par six directions régionales (Districts) qui couvrent les grandes régions du pays.</w:t>
      </w:r>
    </w:p>
    <w:p w14:paraId="0C1F9A3E"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336CF9AB" w14:textId="06606C6A"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w:t>
      </w:r>
      <w:r w:rsidRPr="004743DB">
        <w:rPr>
          <w:rFonts w:ascii="Arial" w:eastAsia="Times New Roman" w:hAnsi="Arial" w:cs="Arial"/>
          <w:b/>
          <w:bCs/>
          <w:color w:val="696969"/>
          <w:sz w:val="18"/>
          <w:szCs w:val="18"/>
          <w:lang w:eastAsia="fr-FR"/>
        </w:rPr>
        <w:t>Nord-</w:t>
      </w:r>
      <w:r w:rsidRPr="004743DB">
        <w:rPr>
          <w:rFonts w:ascii="Arial" w:eastAsia="Times New Roman" w:hAnsi="Arial" w:cs="Arial"/>
          <w:b/>
          <w:bCs/>
          <w:color w:val="696969"/>
          <w:sz w:val="18"/>
          <w:szCs w:val="18"/>
          <w:lang w:eastAsia="fr-FR"/>
        </w:rPr>
        <w:t>Est :</w:t>
      </w:r>
    </w:p>
    <w:p w14:paraId="76B2D0FC"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Adresse : Tunis</w:t>
      </w:r>
      <w:r w:rsidRPr="004743DB">
        <w:rPr>
          <w:rFonts w:ascii="Arial" w:eastAsia="Times New Roman" w:hAnsi="Arial" w:cs="Arial"/>
          <w:color w:val="696969"/>
          <w:sz w:val="18"/>
          <w:szCs w:val="18"/>
          <w:lang w:eastAsia="fr-FR"/>
        </w:rPr>
        <w:t xml:space="preserve">. Cité </w:t>
      </w:r>
      <w:proofErr w:type="spellStart"/>
      <w:r w:rsidRPr="004743DB">
        <w:rPr>
          <w:rFonts w:ascii="Arial" w:eastAsia="Times New Roman" w:hAnsi="Arial" w:cs="Arial"/>
          <w:color w:val="696969"/>
          <w:sz w:val="18"/>
          <w:szCs w:val="18"/>
          <w:lang w:eastAsia="fr-FR"/>
        </w:rPr>
        <w:t>Bouchoucha</w:t>
      </w:r>
      <w:proofErr w:type="spellEnd"/>
      <w:r w:rsidRPr="004743DB">
        <w:rPr>
          <w:rFonts w:ascii="Arial" w:eastAsia="Times New Roman" w:hAnsi="Arial" w:cs="Arial"/>
          <w:color w:val="696969"/>
          <w:sz w:val="18"/>
          <w:szCs w:val="18"/>
          <w:lang w:eastAsia="fr-FR"/>
        </w:rPr>
        <w:t>, le Bardo 2000.</w:t>
      </w:r>
    </w:p>
    <w:p w14:paraId="450858C5"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Téléphone : </w:t>
      </w:r>
      <w:r w:rsidRPr="004743DB">
        <w:rPr>
          <w:rFonts w:ascii="Arial" w:eastAsia="Times New Roman" w:hAnsi="Arial" w:cs="Arial"/>
          <w:color w:val="696969"/>
          <w:sz w:val="18"/>
          <w:szCs w:val="18"/>
          <w:lang w:eastAsia="fr-FR"/>
        </w:rPr>
        <w:t>(+216) 71 588 697</w:t>
      </w:r>
    </w:p>
    <w:p w14:paraId="6C4255E8"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Fax : </w:t>
      </w:r>
      <w:r w:rsidRPr="004743DB">
        <w:rPr>
          <w:rFonts w:ascii="Arial" w:eastAsia="Times New Roman" w:hAnsi="Arial" w:cs="Arial"/>
          <w:color w:val="696969"/>
          <w:sz w:val="18"/>
          <w:szCs w:val="18"/>
          <w:lang w:eastAsia="fr-FR"/>
        </w:rPr>
        <w:t>(+216) 71 588808</w:t>
      </w:r>
    </w:p>
    <w:p w14:paraId="47E6850A"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718AAFDD"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w:t>
      </w:r>
      <w:r w:rsidRPr="004743DB">
        <w:rPr>
          <w:rFonts w:ascii="Arial" w:eastAsia="Times New Roman" w:hAnsi="Arial" w:cs="Arial"/>
          <w:b/>
          <w:bCs/>
          <w:color w:val="696969"/>
          <w:sz w:val="18"/>
          <w:szCs w:val="18"/>
          <w:lang w:eastAsia="fr-FR"/>
        </w:rPr>
        <w:t>Nord-Ouest : </w:t>
      </w:r>
    </w:p>
    <w:p w14:paraId="7089AC51"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Adresse : Béja</w:t>
      </w:r>
      <w:r w:rsidRPr="004743DB">
        <w:rPr>
          <w:rFonts w:ascii="Arial" w:eastAsia="Times New Roman" w:hAnsi="Arial" w:cs="Arial"/>
          <w:color w:val="696969"/>
          <w:sz w:val="18"/>
          <w:szCs w:val="18"/>
          <w:lang w:eastAsia="fr-FR"/>
        </w:rPr>
        <w:t xml:space="preserve">. Rue de la </w:t>
      </w:r>
      <w:proofErr w:type="spellStart"/>
      <w:proofErr w:type="gramStart"/>
      <w:r w:rsidRPr="004743DB">
        <w:rPr>
          <w:rFonts w:ascii="Arial" w:eastAsia="Times New Roman" w:hAnsi="Arial" w:cs="Arial"/>
          <w:color w:val="696969"/>
          <w:sz w:val="18"/>
          <w:szCs w:val="18"/>
          <w:lang w:eastAsia="fr-FR"/>
        </w:rPr>
        <w:t>municipalité,Imm</w:t>
      </w:r>
      <w:proofErr w:type="spellEnd"/>
      <w:proofErr w:type="gramEnd"/>
      <w:r w:rsidRPr="004743DB">
        <w:rPr>
          <w:rFonts w:ascii="Arial" w:eastAsia="Times New Roman" w:hAnsi="Arial" w:cs="Arial"/>
          <w:color w:val="696969"/>
          <w:sz w:val="18"/>
          <w:szCs w:val="18"/>
          <w:lang w:eastAsia="fr-FR"/>
        </w:rPr>
        <w:t xml:space="preserve"> </w:t>
      </w:r>
      <w:proofErr w:type="spellStart"/>
      <w:r w:rsidRPr="004743DB">
        <w:rPr>
          <w:rFonts w:ascii="Arial" w:eastAsia="Times New Roman" w:hAnsi="Arial" w:cs="Arial"/>
          <w:color w:val="696969"/>
          <w:sz w:val="18"/>
          <w:szCs w:val="18"/>
          <w:lang w:eastAsia="fr-FR"/>
        </w:rPr>
        <w:t>zlaoui</w:t>
      </w:r>
      <w:proofErr w:type="spellEnd"/>
      <w:r w:rsidRPr="004743DB">
        <w:rPr>
          <w:rFonts w:ascii="Arial" w:eastAsia="Times New Roman" w:hAnsi="Arial" w:cs="Arial"/>
          <w:color w:val="696969"/>
          <w:sz w:val="18"/>
          <w:szCs w:val="18"/>
          <w:lang w:eastAsia="fr-FR"/>
        </w:rPr>
        <w:t xml:space="preserve"> , Béja 9000.</w:t>
      </w:r>
    </w:p>
    <w:p w14:paraId="6CA48327"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Téléphone : </w:t>
      </w:r>
      <w:r w:rsidRPr="004743DB">
        <w:rPr>
          <w:rFonts w:ascii="Arial" w:eastAsia="Times New Roman" w:hAnsi="Arial" w:cs="Arial"/>
          <w:color w:val="696969"/>
          <w:sz w:val="18"/>
          <w:szCs w:val="18"/>
          <w:lang w:eastAsia="fr-FR"/>
        </w:rPr>
        <w:t>(+216) 78 450 755</w:t>
      </w:r>
    </w:p>
    <w:p w14:paraId="7E486660"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Fax : </w:t>
      </w:r>
      <w:r w:rsidRPr="004743DB">
        <w:rPr>
          <w:rFonts w:ascii="Arial" w:eastAsia="Times New Roman" w:hAnsi="Arial" w:cs="Arial"/>
          <w:color w:val="696969"/>
          <w:sz w:val="18"/>
          <w:szCs w:val="18"/>
          <w:lang w:eastAsia="fr-FR"/>
        </w:rPr>
        <w:t>(+216) 78 440 359</w:t>
      </w:r>
    </w:p>
    <w:p w14:paraId="3A8C70C7"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38CF5E88"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w:t>
      </w:r>
      <w:r w:rsidRPr="004743DB">
        <w:rPr>
          <w:rFonts w:ascii="Arial" w:eastAsia="Times New Roman" w:hAnsi="Arial" w:cs="Arial"/>
          <w:b/>
          <w:bCs/>
          <w:color w:val="696969"/>
          <w:sz w:val="18"/>
          <w:szCs w:val="18"/>
          <w:lang w:eastAsia="fr-FR"/>
        </w:rPr>
        <w:t>Centre-Est : </w:t>
      </w:r>
    </w:p>
    <w:p w14:paraId="066A51E4" w14:textId="31D1C75E"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val="en-US" w:eastAsia="fr-FR"/>
        </w:rPr>
      </w:pPr>
      <w:r w:rsidRPr="004743DB">
        <w:rPr>
          <w:rFonts w:ascii="Arial" w:eastAsia="Times New Roman" w:hAnsi="Arial" w:cs="Arial"/>
          <w:b/>
          <w:bCs/>
          <w:color w:val="696969"/>
          <w:sz w:val="18"/>
          <w:szCs w:val="18"/>
          <w:lang w:eastAsia="fr-FR"/>
        </w:rPr>
        <w:t>Adresse : </w:t>
      </w:r>
      <w:r w:rsidRPr="004743DB">
        <w:rPr>
          <w:rFonts w:ascii="Arial" w:eastAsia="Times New Roman" w:hAnsi="Arial" w:cs="Arial"/>
          <w:b/>
          <w:bCs/>
          <w:color w:val="696969"/>
          <w:sz w:val="18"/>
          <w:szCs w:val="18"/>
          <w:lang w:eastAsia="fr-FR"/>
        </w:rPr>
        <w:t>Sousse</w:t>
      </w:r>
      <w:r w:rsidRPr="004743DB">
        <w:rPr>
          <w:rFonts w:ascii="Arial" w:eastAsia="Times New Roman" w:hAnsi="Arial" w:cs="Arial"/>
          <w:color w:val="696969"/>
          <w:sz w:val="18"/>
          <w:szCs w:val="18"/>
          <w:lang w:eastAsia="fr-FR"/>
        </w:rPr>
        <w:t xml:space="preserve"> :</w:t>
      </w:r>
      <w:r w:rsidRPr="004743DB">
        <w:rPr>
          <w:rFonts w:ascii="Arial" w:eastAsia="Times New Roman" w:hAnsi="Arial" w:cs="Arial"/>
          <w:color w:val="696969"/>
          <w:sz w:val="18"/>
          <w:szCs w:val="18"/>
          <w:lang w:eastAsia="fr-FR"/>
        </w:rPr>
        <w:t xml:space="preserve"> </w:t>
      </w:r>
      <w:proofErr w:type="spellStart"/>
      <w:r w:rsidRPr="004743DB">
        <w:rPr>
          <w:rFonts w:ascii="Arial" w:eastAsia="Times New Roman" w:hAnsi="Arial" w:cs="Arial"/>
          <w:color w:val="696969"/>
          <w:sz w:val="18"/>
          <w:szCs w:val="18"/>
          <w:lang w:eastAsia="fr-FR"/>
        </w:rPr>
        <w:t>Imm</w:t>
      </w:r>
      <w:proofErr w:type="spellEnd"/>
      <w:r w:rsidRPr="004743DB">
        <w:rPr>
          <w:rFonts w:ascii="Arial" w:eastAsia="Times New Roman" w:hAnsi="Arial" w:cs="Arial"/>
          <w:color w:val="696969"/>
          <w:sz w:val="18"/>
          <w:szCs w:val="18"/>
          <w:lang w:eastAsia="fr-FR"/>
        </w:rPr>
        <w:t xml:space="preserve">. </w:t>
      </w:r>
      <w:proofErr w:type="spellStart"/>
      <w:r w:rsidRPr="004743DB">
        <w:rPr>
          <w:rFonts w:ascii="Arial" w:eastAsia="Times New Roman" w:hAnsi="Arial" w:cs="Arial"/>
          <w:color w:val="696969"/>
          <w:sz w:val="18"/>
          <w:szCs w:val="18"/>
          <w:lang w:val="en-US" w:eastAsia="fr-FR"/>
        </w:rPr>
        <w:t>Mallouli</w:t>
      </w:r>
      <w:proofErr w:type="spellEnd"/>
      <w:r w:rsidRPr="004743DB">
        <w:rPr>
          <w:rFonts w:ascii="Arial" w:eastAsia="Times New Roman" w:hAnsi="Arial" w:cs="Arial"/>
          <w:color w:val="696969"/>
          <w:sz w:val="18"/>
          <w:szCs w:val="18"/>
          <w:lang w:val="en-US" w:eastAsia="fr-FR"/>
        </w:rPr>
        <w:t xml:space="preserve"> Rue Med Ali, Bab </w:t>
      </w:r>
      <w:proofErr w:type="spellStart"/>
      <w:r w:rsidRPr="004743DB">
        <w:rPr>
          <w:rFonts w:ascii="Arial" w:eastAsia="Times New Roman" w:hAnsi="Arial" w:cs="Arial"/>
          <w:color w:val="696969"/>
          <w:sz w:val="18"/>
          <w:szCs w:val="18"/>
          <w:lang w:val="en-US" w:eastAsia="fr-FR"/>
        </w:rPr>
        <w:t>Djedid</w:t>
      </w:r>
      <w:proofErr w:type="spellEnd"/>
      <w:r w:rsidRPr="004743DB">
        <w:rPr>
          <w:rFonts w:ascii="Arial" w:eastAsia="Times New Roman" w:hAnsi="Arial" w:cs="Arial"/>
          <w:color w:val="696969"/>
          <w:sz w:val="18"/>
          <w:szCs w:val="18"/>
          <w:lang w:val="en-US" w:eastAsia="fr-FR"/>
        </w:rPr>
        <w:t xml:space="preserve"> Sousse 4000.</w:t>
      </w:r>
    </w:p>
    <w:p w14:paraId="37D43A12"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Téléphone : </w:t>
      </w:r>
      <w:r w:rsidRPr="004743DB">
        <w:rPr>
          <w:rFonts w:ascii="Arial" w:eastAsia="Times New Roman" w:hAnsi="Arial" w:cs="Arial"/>
          <w:color w:val="696969"/>
          <w:sz w:val="18"/>
          <w:szCs w:val="18"/>
          <w:lang w:eastAsia="fr-FR"/>
        </w:rPr>
        <w:t>(+216) 73 224 245</w:t>
      </w:r>
    </w:p>
    <w:p w14:paraId="63C49EC0"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Fax : </w:t>
      </w:r>
      <w:r w:rsidRPr="004743DB">
        <w:rPr>
          <w:rFonts w:ascii="Arial" w:eastAsia="Times New Roman" w:hAnsi="Arial" w:cs="Arial"/>
          <w:color w:val="696969"/>
          <w:sz w:val="18"/>
          <w:szCs w:val="18"/>
          <w:lang w:eastAsia="fr-FR"/>
        </w:rPr>
        <w:t>(+216) 73 224 245</w:t>
      </w:r>
    </w:p>
    <w:p w14:paraId="090B2044"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0AE1957E"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0B30AC83"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w:t>
      </w:r>
      <w:r w:rsidRPr="004743DB">
        <w:rPr>
          <w:rFonts w:ascii="Arial" w:eastAsia="Times New Roman" w:hAnsi="Arial" w:cs="Arial"/>
          <w:b/>
          <w:bCs/>
          <w:color w:val="696969"/>
          <w:sz w:val="18"/>
          <w:szCs w:val="18"/>
          <w:lang w:eastAsia="fr-FR"/>
        </w:rPr>
        <w:t>Centre-Ouest : </w:t>
      </w:r>
    </w:p>
    <w:p w14:paraId="6556D7BB" w14:textId="55FFFFFA"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Adresse : </w:t>
      </w:r>
      <w:r w:rsidRPr="004743DB">
        <w:rPr>
          <w:rFonts w:ascii="Arial" w:eastAsia="Times New Roman" w:hAnsi="Arial" w:cs="Arial"/>
          <w:b/>
          <w:bCs/>
          <w:color w:val="696969"/>
          <w:sz w:val="18"/>
          <w:szCs w:val="18"/>
          <w:lang w:eastAsia="fr-FR"/>
        </w:rPr>
        <w:t>Kasserine</w:t>
      </w:r>
      <w:r w:rsidRPr="004743DB">
        <w:rPr>
          <w:rFonts w:ascii="Arial" w:eastAsia="Times New Roman" w:hAnsi="Arial" w:cs="Arial"/>
          <w:color w:val="696969"/>
          <w:sz w:val="18"/>
          <w:szCs w:val="18"/>
          <w:lang w:eastAsia="fr-FR"/>
        </w:rPr>
        <w:t xml:space="preserve"> :</w:t>
      </w:r>
      <w:r w:rsidRPr="004743DB">
        <w:rPr>
          <w:rFonts w:ascii="Arial" w:eastAsia="Times New Roman" w:hAnsi="Arial" w:cs="Arial"/>
          <w:color w:val="696969"/>
          <w:sz w:val="18"/>
          <w:szCs w:val="18"/>
          <w:lang w:eastAsia="fr-FR"/>
        </w:rPr>
        <w:t xml:space="preserve"> Avenue Habib </w:t>
      </w:r>
      <w:proofErr w:type="spellStart"/>
      <w:r w:rsidRPr="004743DB">
        <w:rPr>
          <w:rFonts w:ascii="Arial" w:eastAsia="Times New Roman" w:hAnsi="Arial" w:cs="Arial"/>
          <w:color w:val="696969"/>
          <w:sz w:val="18"/>
          <w:szCs w:val="18"/>
          <w:lang w:eastAsia="fr-FR"/>
        </w:rPr>
        <w:t>bourguiba</w:t>
      </w:r>
      <w:proofErr w:type="spellEnd"/>
      <w:r w:rsidRPr="004743DB">
        <w:rPr>
          <w:rFonts w:ascii="Arial" w:eastAsia="Times New Roman" w:hAnsi="Arial" w:cs="Arial"/>
          <w:color w:val="696969"/>
          <w:sz w:val="18"/>
          <w:szCs w:val="18"/>
          <w:lang w:eastAsia="fr-FR"/>
        </w:rPr>
        <w:t>. Kasserine 1200.</w:t>
      </w:r>
    </w:p>
    <w:p w14:paraId="4F9F1F56"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Téléphone : </w:t>
      </w:r>
      <w:r w:rsidRPr="004743DB">
        <w:rPr>
          <w:rFonts w:ascii="Arial" w:eastAsia="Times New Roman" w:hAnsi="Arial" w:cs="Arial"/>
          <w:color w:val="696969"/>
          <w:sz w:val="18"/>
          <w:szCs w:val="18"/>
          <w:lang w:eastAsia="fr-FR"/>
        </w:rPr>
        <w:t>(+216) 77 474 811</w:t>
      </w:r>
    </w:p>
    <w:p w14:paraId="2682107E"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Fax : </w:t>
      </w:r>
      <w:r w:rsidRPr="004743DB">
        <w:rPr>
          <w:rFonts w:ascii="Arial" w:eastAsia="Times New Roman" w:hAnsi="Arial" w:cs="Arial"/>
          <w:color w:val="696969"/>
          <w:sz w:val="18"/>
          <w:szCs w:val="18"/>
          <w:lang w:eastAsia="fr-FR"/>
        </w:rPr>
        <w:t>(+216) 77 474 811</w:t>
      </w:r>
    </w:p>
    <w:p w14:paraId="66BF7AFA"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5ADDB46B" w14:textId="3E5B005B"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w:t>
      </w:r>
      <w:r w:rsidRPr="004743DB">
        <w:rPr>
          <w:rFonts w:ascii="Arial" w:eastAsia="Times New Roman" w:hAnsi="Arial" w:cs="Arial"/>
          <w:b/>
          <w:bCs/>
          <w:color w:val="696969"/>
          <w:sz w:val="18"/>
          <w:szCs w:val="18"/>
          <w:lang w:eastAsia="fr-FR"/>
        </w:rPr>
        <w:t>Sud-Ouest</w:t>
      </w:r>
      <w:r w:rsidRPr="004743DB">
        <w:rPr>
          <w:rFonts w:ascii="Arial" w:eastAsia="Times New Roman" w:hAnsi="Arial" w:cs="Arial"/>
          <w:b/>
          <w:bCs/>
          <w:color w:val="696969"/>
          <w:sz w:val="18"/>
          <w:szCs w:val="18"/>
          <w:lang w:eastAsia="fr-FR"/>
        </w:rPr>
        <w:t> : </w:t>
      </w:r>
    </w:p>
    <w:p w14:paraId="065F406C" w14:textId="313EFAD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Adresse : </w:t>
      </w:r>
      <w:r w:rsidRPr="004743DB">
        <w:rPr>
          <w:rFonts w:ascii="Arial" w:eastAsia="Times New Roman" w:hAnsi="Arial" w:cs="Arial"/>
          <w:b/>
          <w:bCs/>
          <w:color w:val="696969"/>
          <w:sz w:val="18"/>
          <w:szCs w:val="18"/>
          <w:lang w:eastAsia="fr-FR"/>
        </w:rPr>
        <w:t>Gafsa</w:t>
      </w:r>
      <w:r w:rsidRPr="004743DB">
        <w:rPr>
          <w:rFonts w:ascii="Arial" w:eastAsia="Times New Roman" w:hAnsi="Arial" w:cs="Arial"/>
          <w:color w:val="696969"/>
          <w:sz w:val="18"/>
          <w:szCs w:val="18"/>
          <w:lang w:eastAsia="fr-FR"/>
        </w:rPr>
        <w:t xml:space="preserve"> :</w:t>
      </w:r>
      <w:r w:rsidRPr="004743DB">
        <w:rPr>
          <w:rFonts w:ascii="Arial" w:eastAsia="Times New Roman" w:hAnsi="Arial" w:cs="Arial"/>
          <w:color w:val="696969"/>
          <w:sz w:val="18"/>
          <w:szCs w:val="18"/>
          <w:lang w:eastAsia="fr-FR"/>
        </w:rPr>
        <w:t xml:space="preserve"> Avenue Roman </w:t>
      </w:r>
      <w:proofErr w:type="spellStart"/>
      <w:r w:rsidRPr="004743DB">
        <w:rPr>
          <w:rFonts w:ascii="Arial" w:eastAsia="Times New Roman" w:hAnsi="Arial" w:cs="Arial"/>
          <w:color w:val="696969"/>
          <w:sz w:val="18"/>
          <w:szCs w:val="18"/>
          <w:lang w:eastAsia="fr-FR"/>
        </w:rPr>
        <w:t>Douali</w:t>
      </w:r>
      <w:proofErr w:type="spellEnd"/>
      <w:r w:rsidRPr="004743DB">
        <w:rPr>
          <w:rFonts w:ascii="Arial" w:eastAsia="Times New Roman" w:hAnsi="Arial" w:cs="Arial"/>
          <w:color w:val="696969"/>
          <w:sz w:val="18"/>
          <w:szCs w:val="18"/>
          <w:lang w:eastAsia="fr-FR"/>
        </w:rPr>
        <w:t xml:space="preserve"> 2100 Gafsa</w:t>
      </w:r>
    </w:p>
    <w:p w14:paraId="0F3710A8" w14:textId="584EA14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Téléphone : </w:t>
      </w:r>
      <w:r w:rsidRPr="004743DB">
        <w:rPr>
          <w:rFonts w:ascii="Arial" w:eastAsia="Times New Roman" w:hAnsi="Arial" w:cs="Arial"/>
          <w:color w:val="696969"/>
          <w:sz w:val="18"/>
          <w:szCs w:val="18"/>
          <w:lang w:eastAsia="fr-FR"/>
        </w:rPr>
        <w:t>(+216</w:t>
      </w:r>
      <w:r w:rsidRPr="004743DB">
        <w:rPr>
          <w:rFonts w:ascii="Arial" w:eastAsia="Times New Roman" w:hAnsi="Arial" w:cs="Arial"/>
          <w:color w:val="696969"/>
          <w:sz w:val="18"/>
          <w:szCs w:val="18"/>
          <w:lang w:eastAsia="fr-FR"/>
        </w:rPr>
        <w:t>) 76</w:t>
      </w:r>
      <w:r w:rsidRPr="004743DB">
        <w:rPr>
          <w:rFonts w:ascii="Arial" w:eastAsia="Times New Roman" w:hAnsi="Arial" w:cs="Arial"/>
          <w:color w:val="696969"/>
          <w:sz w:val="18"/>
          <w:szCs w:val="18"/>
          <w:lang w:eastAsia="fr-FR"/>
        </w:rPr>
        <w:t xml:space="preserve"> 224 951</w:t>
      </w:r>
    </w:p>
    <w:p w14:paraId="4E86B0F5"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Fax : </w:t>
      </w:r>
      <w:r w:rsidRPr="004743DB">
        <w:rPr>
          <w:rFonts w:ascii="Arial" w:eastAsia="Times New Roman" w:hAnsi="Arial" w:cs="Arial"/>
          <w:color w:val="696969"/>
          <w:sz w:val="18"/>
          <w:szCs w:val="18"/>
          <w:lang w:eastAsia="fr-FR"/>
        </w:rPr>
        <w:t>(+216) 76 224 951</w:t>
      </w:r>
    </w:p>
    <w:p w14:paraId="203F7C20"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3E89984A"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3FA41F5B"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w:t>
      </w:r>
      <w:r w:rsidRPr="004743DB">
        <w:rPr>
          <w:rFonts w:ascii="Arial" w:eastAsia="Times New Roman" w:hAnsi="Arial" w:cs="Arial"/>
          <w:b/>
          <w:bCs/>
          <w:color w:val="696969"/>
          <w:sz w:val="18"/>
          <w:szCs w:val="18"/>
          <w:lang w:eastAsia="fr-FR"/>
        </w:rPr>
        <w:t>Sud Est : </w:t>
      </w:r>
    </w:p>
    <w:p w14:paraId="1653C30C"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Adresse : Médenine</w:t>
      </w:r>
      <w:r w:rsidRPr="004743DB">
        <w:rPr>
          <w:rFonts w:ascii="Arial" w:eastAsia="Times New Roman" w:hAnsi="Arial" w:cs="Arial"/>
          <w:color w:val="696969"/>
          <w:sz w:val="18"/>
          <w:szCs w:val="18"/>
          <w:lang w:eastAsia="fr-FR"/>
        </w:rPr>
        <w:t xml:space="preserve">. Avenue Habib bourguiba-2ème étage, </w:t>
      </w:r>
      <w:proofErr w:type="spellStart"/>
      <w:r w:rsidRPr="004743DB">
        <w:rPr>
          <w:rFonts w:ascii="Arial" w:eastAsia="Times New Roman" w:hAnsi="Arial" w:cs="Arial"/>
          <w:color w:val="696969"/>
          <w:sz w:val="18"/>
          <w:szCs w:val="18"/>
          <w:lang w:eastAsia="fr-FR"/>
        </w:rPr>
        <w:t>Medennine</w:t>
      </w:r>
      <w:proofErr w:type="spellEnd"/>
      <w:r w:rsidRPr="004743DB">
        <w:rPr>
          <w:rFonts w:ascii="Arial" w:eastAsia="Times New Roman" w:hAnsi="Arial" w:cs="Arial"/>
          <w:color w:val="696969"/>
          <w:sz w:val="18"/>
          <w:szCs w:val="18"/>
          <w:lang w:eastAsia="fr-FR"/>
        </w:rPr>
        <w:t xml:space="preserve"> 4080.</w:t>
      </w:r>
    </w:p>
    <w:p w14:paraId="266E66CC" w14:textId="71D79EE2"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Téléphone : </w:t>
      </w:r>
      <w:r w:rsidRPr="004743DB">
        <w:rPr>
          <w:rFonts w:ascii="Arial" w:eastAsia="Times New Roman" w:hAnsi="Arial" w:cs="Arial"/>
          <w:color w:val="696969"/>
          <w:sz w:val="18"/>
          <w:szCs w:val="18"/>
          <w:lang w:eastAsia="fr-FR"/>
        </w:rPr>
        <w:t>(+216</w:t>
      </w:r>
      <w:r w:rsidRPr="004743DB">
        <w:rPr>
          <w:rFonts w:ascii="Arial" w:eastAsia="Times New Roman" w:hAnsi="Arial" w:cs="Arial"/>
          <w:color w:val="696969"/>
          <w:sz w:val="18"/>
          <w:szCs w:val="18"/>
          <w:lang w:eastAsia="fr-FR"/>
        </w:rPr>
        <w:t>) 75</w:t>
      </w:r>
      <w:r w:rsidRPr="004743DB">
        <w:rPr>
          <w:rFonts w:ascii="Arial" w:eastAsia="Times New Roman" w:hAnsi="Arial" w:cs="Arial"/>
          <w:color w:val="696969"/>
          <w:sz w:val="18"/>
          <w:szCs w:val="18"/>
          <w:lang w:eastAsia="fr-FR"/>
        </w:rPr>
        <w:t xml:space="preserve"> 643 864</w:t>
      </w:r>
    </w:p>
    <w:p w14:paraId="746A65DD"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696969"/>
          <w:sz w:val="18"/>
          <w:szCs w:val="18"/>
          <w:lang w:eastAsia="fr-FR"/>
        </w:rPr>
        <w:t>Fax : </w:t>
      </w:r>
      <w:r w:rsidRPr="004743DB">
        <w:rPr>
          <w:rFonts w:ascii="Arial" w:eastAsia="Times New Roman" w:hAnsi="Arial" w:cs="Arial"/>
          <w:color w:val="696969"/>
          <w:sz w:val="18"/>
          <w:szCs w:val="18"/>
          <w:lang w:eastAsia="fr-FR"/>
        </w:rPr>
        <w:t>(+216) 75 643 864</w:t>
      </w:r>
    </w:p>
    <w:p w14:paraId="30D2D39C" w14:textId="77777777" w:rsidR="004743DB" w:rsidRPr="004743DB" w:rsidRDefault="004743DB" w:rsidP="004743DB">
      <w:pPr>
        <w:shd w:val="clear" w:color="auto" w:fill="FFFFFF"/>
        <w:spacing w:after="0" w:line="240" w:lineRule="auto"/>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230CD91F"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La mission principale des représentations régionales est de réaliser les opérations de collecte de données, de chiffrement et de saisie et s'étend à d'autres activités régionales spécifiques ainsi que le développement des statistiques régionales dans leurs zones géographiques.</w:t>
      </w:r>
    </w:p>
    <w:p w14:paraId="3EF23EBF"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6E5DFFF9"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007CB5"/>
          <w:sz w:val="21"/>
          <w:szCs w:val="21"/>
          <w:lang w:eastAsia="fr-FR"/>
        </w:rPr>
        <w:t>Les représentations de L'INS dans les régions</w:t>
      </w:r>
    </w:p>
    <w:p w14:paraId="2731E473"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4015E652"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Carte de la Tunisie avec répartition régionale et légende</w:t>
      </w:r>
    </w:p>
    <w:p w14:paraId="2331A9C3" w14:textId="77777777" w:rsidR="004743DB" w:rsidRPr="004743DB" w:rsidRDefault="004743DB" w:rsidP="004743DB">
      <w:pPr>
        <w:shd w:val="clear" w:color="auto" w:fill="FFFFFF"/>
        <w:spacing w:after="0" w:line="240" w:lineRule="auto"/>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434A6CBD" w14:textId="77777777" w:rsidR="004743DB" w:rsidRPr="004743DB" w:rsidRDefault="004743DB" w:rsidP="004743DB">
      <w:pPr>
        <w:shd w:val="clear" w:color="auto" w:fill="FFFFFF"/>
        <w:spacing w:after="0" w:line="240" w:lineRule="auto"/>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193A72C4"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color w:val="007CB5"/>
          <w:sz w:val="21"/>
          <w:szCs w:val="21"/>
          <w:lang w:eastAsia="fr-FR"/>
        </w:rPr>
        <w:t>Les Principales Activités de l'INS</w:t>
      </w:r>
    </w:p>
    <w:p w14:paraId="72519674" w14:textId="77777777" w:rsidR="004743DB" w:rsidRPr="004743DB" w:rsidRDefault="004743DB" w:rsidP="004743DB">
      <w:pPr>
        <w:shd w:val="clear" w:color="auto" w:fill="FFFFFF"/>
        <w:spacing w:after="0" w:line="240" w:lineRule="auto"/>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3F05C465"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i/>
          <w:iCs/>
          <w:color w:val="696969"/>
          <w:sz w:val="18"/>
          <w:szCs w:val="18"/>
          <w:lang w:eastAsia="fr-FR"/>
        </w:rPr>
        <w:t>Statistiques démographiques et sociales</w:t>
      </w:r>
    </w:p>
    <w:p w14:paraId="5B4C3207" w14:textId="77777777" w:rsidR="004743DB" w:rsidRPr="004743DB" w:rsidRDefault="004743DB" w:rsidP="004743DB">
      <w:pPr>
        <w:shd w:val="clear" w:color="auto" w:fill="FFFFFF"/>
        <w:spacing w:after="0" w:line="240" w:lineRule="auto"/>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1528207F"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lastRenderedPageBreak/>
        <w:t>• Recensement général de la population et de l'habitat.</w:t>
      </w:r>
    </w:p>
    <w:p w14:paraId="3F735578"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Elaboration des statistiques de la population et de l'Etat civil.</w:t>
      </w:r>
    </w:p>
    <w:p w14:paraId="46A2B250"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Projection de la population.</w:t>
      </w:r>
    </w:p>
    <w:p w14:paraId="6A9F791B"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Enquête nationale sur la consommation des ménages</w:t>
      </w:r>
    </w:p>
    <w:p w14:paraId="02F5FD0B"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Effectifs et salaires de la fonction publique.</w:t>
      </w:r>
    </w:p>
    <w:p w14:paraId="31F9489E"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Les indicateurs de l'infrastructure.</w:t>
      </w:r>
    </w:p>
    <w:p w14:paraId="4363A307"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607214EA"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i/>
          <w:iCs/>
          <w:color w:val="696969"/>
          <w:sz w:val="18"/>
          <w:szCs w:val="18"/>
          <w:lang w:eastAsia="fr-FR"/>
        </w:rPr>
        <w:t>Statistiques économiques</w:t>
      </w:r>
    </w:p>
    <w:p w14:paraId="139938E4"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78283B2C"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Répertoire national des entreprises.</w:t>
      </w:r>
    </w:p>
    <w:p w14:paraId="3A72F79A"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Enquêtes sur les activités des entreprises.</w:t>
      </w:r>
    </w:p>
    <w:p w14:paraId="6791A915"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Les comptes nationaux annuels/ trimestriels.</w:t>
      </w:r>
    </w:p>
    <w:p w14:paraId="5A10782C"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Les indices de conjoncture.</w:t>
      </w:r>
    </w:p>
    <w:p w14:paraId="44DF1F41"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Statistiques du commerce extérieur.</w:t>
      </w:r>
    </w:p>
    <w:p w14:paraId="3EBED056"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Enquête sur les investissements.</w:t>
      </w:r>
    </w:p>
    <w:p w14:paraId="394B5746"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Suivi de la conjoncture économique.</w:t>
      </w:r>
    </w:p>
    <w:p w14:paraId="1A5FDEB7"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6AEFD47D"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b/>
          <w:bCs/>
          <w:i/>
          <w:iCs/>
          <w:color w:val="696969"/>
          <w:sz w:val="18"/>
          <w:szCs w:val="18"/>
          <w:lang w:eastAsia="fr-FR"/>
        </w:rPr>
        <w:t>Coordination statistique</w:t>
      </w:r>
    </w:p>
    <w:p w14:paraId="0DB7C097"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Helvetica" w:eastAsia="Times New Roman" w:hAnsi="Helvetica" w:cs="Helvetica"/>
          <w:color w:val="000000"/>
          <w:sz w:val="18"/>
          <w:szCs w:val="18"/>
          <w:lang w:eastAsia="fr-FR"/>
        </w:rPr>
        <w:t> </w:t>
      </w:r>
    </w:p>
    <w:p w14:paraId="5D641A06"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Coordination technique en matière de statistique.</w:t>
      </w:r>
    </w:p>
    <w:p w14:paraId="644748B8" w14:textId="77777777" w:rsidR="004743DB" w:rsidRPr="004743DB" w:rsidRDefault="004743DB" w:rsidP="004743DB">
      <w:pPr>
        <w:shd w:val="clear" w:color="auto" w:fill="FFFFFF"/>
        <w:spacing w:after="0" w:line="240" w:lineRule="auto"/>
        <w:jc w:val="both"/>
        <w:rPr>
          <w:rFonts w:ascii="Helvetica" w:eastAsia="Times New Roman" w:hAnsi="Helvetica" w:cs="Helvetica"/>
          <w:color w:val="000000"/>
          <w:sz w:val="18"/>
          <w:szCs w:val="18"/>
          <w:lang w:eastAsia="fr-FR"/>
        </w:rPr>
      </w:pPr>
      <w:r w:rsidRPr="004743DB">
        <w:rPr>
          <w:rFonts w:ascii="Arial" w:eastAsia="Times New Roman" w:hAnsi="Arial" w:cs="Arial"/>
          <w:color w:val="696969"/>
          <w:sz w:val="18"/>
          <w:szCs w:val="18"/>
          <w:lang w:eastAsia="fr-FR"/>
        </w:rPr>
        <w:t>•  Secrétariat permanent du conseil national statistique.</w:t>
      </w:r>
    </w:p>
    <w:p w14:paraId="6AF75831" w14:textId="77777777" w:rsidR="00A85773" w:rsidRDefault="00A85773"/>
    <w:sectPr w:rsidR="00A85773" w:rsidSect="004743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DB"/>
    <w:rsid w:val="004743DB"/>
    <w:rsid w:val="00A857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A06D"/>
  <w15:chartTrackingRefBased/>
  <w15:docId w15:val="{60C61013-F71A-4652-B5E9-10F3E7CB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41138">
      <w:bodyDiv w:val="1"/>
      <w:marLeft w:val="0"/>
      <w:marRight w:val="0"/>
      <w:marTop w:val="0"/>
      <w:marBottom w:val="0"/>
      <w:divBdr>
        <w:top w:val="none" w:sz="0" w:space="0" w:color="auto"/>
        <w:left w:val="none" w:sz="0" w:space="0" w:color="auto"/>
        <w:bottom w:val="none" w:sz="0" w:space="0" w:color="auto"/>
        <w:right w:val="none" w:sz="0" w:space="0" w:color="auto"/>
      </w:divBdr>
      <w:divsChild>
        <w:div w:id="37123689">
          <w:blockQuote w:val="1"/>
          <w:marLeft w:val="0"/>
          <w:marRight w:val="0"/>
          <w:marTop w:val="0"/>
          <w:marBottom w:val="0"/>
          <w:divBdr>
            <w:top w:val="none" w:sz="0" w:space="0" w:color="auto"/>
            <w:left w:val="none" w:sz="0" w:space="0" w:color="auto"/>
            <w:bottom w:val="none" w:sz="0" w:space="0" w:color="auto"/>
            <w:right w:val="none" w:sz="0" w:space="0" w:color="auto"/>
          </w:divBdr>
        </w:div>
        <w:div w:id="1325937541">
          <w:blockQuote w:val="1"/>
          <w:marLeft w:val="0"/>
          <w:marRight w:val="0"/>
          <w:marTop w:val="0"/>
          <w:marBottom w:val="0"/>
          <w:divBdr>
            <w:top w:val="none" w:sz="0" w:space="0" w:color="auto"/>
            <w:left w:val="none" w:sz="0" w:space="0" w:color="auto"/>
            <w:bottom w:val="none" w:sz="0" w:space="0" w:color="auto"/>
            <w:right w:val="none" w:sz="0" w:space="0" w:color="auto"/>
          </w:divBdr>
        </w:div>
        <w:div w:id="158886553">
          <w:blockQuote w:val="1"/>
          <w:marLeft w:val="0"/>
          <w:marRight w:val="0"/>
          <w:marTop w:val="0"/>
          <w:marBottom w:val="0"/>
          <w:divBdr>
            <w:top w:val="none" w:sz="0" w:space="0" w:color="auto"/>
            <w:left w:val="none" w:sz="0" w:space="0" w:color="auto"/>
            <w:bottom w:val="none" w:sz="0" w:space="0" w:color="auto"/>
            <w:right w:val="none" w:sz="0" w:space="0" w:color="auto"/>
          </w:divBdr>
        </w:div>
        <w:div w:id="450511545">
          <w:blockQuote w:val="1"/>
          <w:marLeft w:val="0"/>
          <w:marRight w:val="0"/>
          <w:marTop w:val="0"/>
          <w:marBottom w:val="0"/>
          <w:divBdr>
            <w:top w:val="none" w:sz="0" w:space="0" w:color="auto"/>
            <w:left w:val="none" w:sz="0" w:space="0" w:color="auto"/>
            <w:bottom w:val="none" w:sz="0" w:space="0" w:color="auto"/>
            <w:right w:val="none" w:sz="0" w:space="0" w:color="auto"/>
          </w:divBdr>
        </w:div>
        <w:div w:id="1270428710">
          <w:blockQuote w:val="1"/>
          <w:marLeft w:val="0"/>
          <w:marRight w:val="0"/>
          <w:marTop w:val="0"/>
          <w:marBottom w:val="0"/>
          <w:divBdr>
            <w:top w:val="none" w:sz="0" w:space="0" w:color="auto"/>
            <w:left w:val="none" w:sz="0" w:space="0" w:color="auto"/>
            <w:bottom w:val="none" w:sz="0" w:space="0" w:color="auto"/>
            <w:right w:val="none" w:sz="0" w:space="0" w:color="auto"/>
          </w:divBdr>
        </w:div>
        <w:div w:id="934829951">
          <w:blockQuote w:val="1"/>
          <w:marLeft w:val="0"/>
          <w:marRight w:val="0"/>
          <w:marTop w:val="0"/>
          <w:marBottom w:val="0"/>
          <w:divBdr>
            <w:top w:val="none" w:sz="0" w:space="0" w:color="auto"/>
            <w:left w:val="none" w:sz="0" w:space="0" w:color="auto"/>
            <w:bottom w:val="none" w:sz="0" w:space="0" w:color="auto"/>
            <w:right w:val="none" w:sz="0" w:space="0" w:color="auto"/>
          </w:divBdr>
        </w:div>
        <w:div w:id="774177914">
          <w:blockQuote w:val="1"/>
          <w:marLeft w:val="0"/>
          <w:marRight w:val="0"/>
          <w:marTop w:val="0"/>
          <w:marBottom w:val="0"/>
          <w:divBdr>
            <w:top w:val="none" w:sz="0" w:space="0" w:color="auto"/>
            <w:left w:val="none" w:sz="0" w:space="0" w:color="auto"/>
            <w:bottom w:val="none" w:sz="0" w:space="0" w:color="auto"/>
            <w:right w:val="none" w:sz="0" w:space="0" w:color="auto"/>
          </w:divBdr>
        </w:div>
        <w:div w:id="1038819489">
          <w:blockQuote w:val="1"/>
          <w:marLeft w:val="0"/>
          <w:marRight w:val="0"/>
          <w:marTop w:val="0"/>
          <w:marBottom w:val="0"/>
          <w:divBdr>
            <w:top w:val="none" w:sz="0" w:space="0" w:color="auto"/>
            <w:left w:val="none" w:sz="0" w:space="0" w:color="auto"/>
            <w:bottom w:val="none" w:sz="0" w:space="0" w:color="auto"/>
            <w:right w:val="none" w:sz="0" w:space="0" w:color="auto"/>
          </w:divBdr>
        </w:div>
        <w:div w:id="1310093648">
          <w:blockQuote w:val="1"/>
          <w:marLeft w:val="0"/>
          <w:marRight w:val="0"/>
          <w:marTop w:val="0"/>
          <w:marBottom w:val="0"/>
          <w:divBdr>
            <w:top w:val="none" w:sz="0" w:space="0" w:color="auto"/>
            <w:left w:val="none" w:sz="0" w:space="0" w:color="auto"/>
            <w:bottom w:val="none" w:sz="0" w:space="0" w:color="auto"/>
            <w:right w:val="none" w:sz="0" w:space="0" w:color="auto"/>
          </w:divBdr>
        </w:div>
        <w:div w:id="921261149">
          <w:blockQuote w:val="1"/>
          <w:marLeft w:val="0"/>
          <w:marRight w:val="0"/>
          <w:marTop w:val="0"/>
          <w:marBottom w:val="0"/>
          <w:divBdr>
            <w:top w:val="none" w:sz="0" w:space="0" w:color="auto"/>
            <w:left w:val="none" w:sz="0" w:space="0" w:color="auto"/>
            <w:bottom w:val="none" w:sz="0" w:space="0" w:color="auto"/>
            <w:right w:val="none" w:sz="0" w:space="0" w:color="auto"/>
          </w:divBdr>
        </w:div>
        <w:div w:id="515392203">
          <w:blockQuote w:val="1"/>
          <w:marLeft w:val="0"/>
          <w:marRight w:val="0"/>
          <w:marTop w:val="0"/>
          <w:marBottom w:val="0"/>
          <w:divBdr>
            <w:top w:val="none" w:sz="0" w:space="0" w:color="auto"/>
            <w:left w:val="none" w:sz="0" w:space="0" w:color="auto"/>
            <w:bottom w:val="none" w:sz="0" w:space="0" w:color="auto"/>
            <w:right w:val="none" w:sz="0" w:space="0" w:color="auto"/>
          </w:divBdr>
        </w:div>
        <w:div w:id="1987658349">
          <w:blockQuote w:val="1"/>
          <w:marLeft w:val="0"/>
          <w:marRight w:val="0"/>
          <w:marTop w:val="0"/>
          <w:marBottom w:val="0"/>
          <w:divBdr>
            <w:top w:val="none" w:sz="0" w:space="0" w:color="auto"/>
            <w:left w:val="none" w:sz="0" w:space="0" w:color="auto"/>
            <w:bottom w:val="none" w:sz="0" w:space="0" w:color="auto"/>
            <w:right w:val="none" w:sz="0" w:space="0" w:color="auto"/>
          </w:divBdr>
        </w:div>
        <w:div w:id="1480345453">
          <w:blockQuote w:val="1"/>
          <w:marLeft w:val="0"/>
          <w:marRight w:val="0"/>
          <w:marTop w:val="0"/>
          <w:marBottom w:val="0"/>
          <w:divBdr>
            <w:top w:val="none" w:sz="0" w:space="0" w:color="auto"/>
            <w:left w:val="none" w:sz="0" w:space="0" w:color="auto"/>
            <w:bottom w:val="none" w:sz="0" w:space="0" w:color="auto"/>
            <w:right w:val="none" w:sz="0" w:space="0" w:color="auto"/>
          </w:divBdr>
        </w:div>
        <w:div w:id="1000235749">
          <w:blockQuote w:val="1"/>
          <w:marLeft w:val="0"/>
          <w:marRight w:val="0"/>
          <w:marTop w:val="0"/>
          <w:marBottom w:val="0"/>
          <w:divBdr>
            <w:top w:val="none" w:sz="0" w:space="0" w:color="auto"/>
            <w:left w:val="none" w:sz="0" w:space="0" w:color="auto"/>
            <w:bottom w:val="none" w:sz="0" w:space="0" w:color="auto"/>
            <w:right w:val="none" w:sz="0" w:space="0" w:color="auto"/>
          </w:divBdr>
        </w:div>
        <w:div w:id="565606976">
          <w:blockQuote w:val="1"/>
          <w:marLeft w:val="0"/>
          <w:marRight w:val="0"/>
          <w:marTop w:val="0"/>
          <w:marBottom w:val="0"/>
          <w:divBdr>
            <w:top w:val="none" w:sz="0" w:space="0" w:color="auto"/>
            <w:left w:val="none" w:sz="0" w:space="0" w:color="auto"/>
            <w:bottom w:val="none" w:sz="0" w:space="0" w:color="auto"/>
            <w:right w:val="none" w:sz="0" w:space="0" w:color="auto"/>
          </w:divBdr>
        </w:div>
        <w:div w:id="168912855">
          <w:blockQuote w:val="1"/>
          <w:marLeft w:val="0"/>
          <w:marRight w:val="0"/>
          <w:marTop w:val="0"/>
          <w:marBottom w:val="0"/>
          <w:divBdr>
            <w:top w:val="none" w:sz="0" w:space="0" w:color="auto"/>
            <w:left w:val="none" w:sz="0" w:space="0" w:color="auto"/>
            <w:bottom w:val="none" w:sz="0" w:space="0" w:color="auto"/>
            <w:right w:val="none" w:sz="0" w:space="0" w:color="auto"/>
          </w:divBdr>
        </w:div>
        <w:div w:id="1310943747">
          <w:blockQuote w:val="1"/>
          <w:marLeft w:val="0"/>
          <w:marRight w:val="0"/>
          <w:marTop w:val="0"/>
          <w:marBottom w:val="0"/>
          <w:divBdr>
            <w:top w:val="none" w:sz="0" w:space="0" w:color="auto"/>
            <w:left w:val="none" w:sz="0" w:space="0" w:color="auto"/>
            <w:bottom w:val="none" w:sz="0" w:space="0" w:color="auto"/>
            <w:right w:val="none" w:sz="0" w:space="0" w:color="auto"/>
          </w:divBdr>
        </w:div>
        <w:div w:id="798765187">
          <w:blockQuote w:val="1"/>
          <w:marLeft w:val="0"/>
          <w:marRight w:val="0"/>
          <w:marTop w:val="0"/>
          <w:marBottom w:val="0"/>
          <w:divBdr>
            <w:top w:val="none" w:sz="0" w:space="0" w:color="auto"/>
            <w:left w:val="none" w:sz="0" w:space="0" w:color="auto"/>
            <w:bottom w:val="none" w:sz="0" w:space="0" w:color="auto"/>
            <w:right w:val="none" w:sz="0" w:space="0" w:color="auto"/>
          </w:divBdr>
        </w:div>
        <w:div w:id="812874219">
          <w:blockQuote w:val="1"/>
          <w:marLeft w:val="0"/>
          <w:marRight w:val="0"/>
          <w:marTop w:val="0"/>
          <w:marBottom w:val="0"/>
          <w:divBdr>
            <w:top w:val="none" w:sz="0" w:space="0" w:color="auto"/>
            <w:left w:val="none" w:sz="0" w:space="0" w:color="auto"/>
            <w:bottom w:val="none" w:sz="0" w:space="0" w:color="auto"/>
            <w:right w:val="none" w:sz="0" w:space="0" w:color="auto"/>
          </w:divBdr>
        </w:div>
        <w:div w:id="1741248868">
          <w:blockQuote w:val="1"/>
          <w:marLeft w:val="0"/>
          <w:marRight w:val="0"/>
          <w:marTop w:val="0"/>
          <w:marBottom w:val="0"/>
          <w:divBdr>
            <w:top w:val="none" w:sz="0" w:space="0" w:color="auto"/>
            <w:left w:val="none" w:sz="0" w:space="0" w:color="auto"/>
            <w:bottom w:val="none" w:sz="0" w:space="0" w:color="auto"/>
            <w:right w:val="none" w:sz="0" w:space="0" w:color="auto"/>
          </w:divBdr>
        </w:div>
        <w:div w:id="1131478">
          <w:blockQuote w:val="1"/>
          <w:marLeft w:val="0"/>
          <w:marRight w:val="0"/>
          <w:marTop w:val="0"/>
          <w:marBottom w:val="0"/>
          <w:divBdr>
            <w:top w:val="none" w:sz="0" w:space="0" w:color="auto"/>
            <w:left w:val="none" w:sz="0" w:space="0" w:color="auto"/>
            <w:bottom w:val="none" w:sz="0" w:space="0" w:color="auto"/>
            <w:right w:val="none" w:sz="0" w:space="0" w:color="auto"/>
          </w:divBdr>
        </w:div>
        <w:div w:id="21364857">
          <w:blockQuote w:val="1"/>
          <w:marLeft w:val="0"/>
          <w:marRight w:val="0"/>
          <w:marTop w:val="0"/>
          <w:marBottom w:val="0"/>
          <w:divBdr>
            <w:top w:val="none" w:sz="0" w:space="0" w:color="auto"/>
            <w:left w:val="none" w:sz="0" w:space="0" w:color="auto"/>
            <w:bottom w:val="none" w:sz="0" w:space="0" w:color="auto"/>
            <w:right w:val="none" w:sz="0" w:space="0" w:color="auto"/>
          </w:divBdr>
        </w:div>
        <w:div w:id="903563714">
          <w:blockQuote w:val="1"/>
          <w:marLeft w:val="0"/>
          <w:marRight w:val="0"/>
          <w:marTop w:val="0"/>
          <w:marBottom w:val="0"/>
          <w:divBdr>
            <w:top w:val="none" w:sz="0" w:space="0" w:color="auto"/>
            <w:left w:val="none" w:sz="0" w:space="0" w:color="auto"/>
            <w:bottom w:val="none" w:sz="0" w:space="0" w:color="auto"/>
            <w:right w:val="none" w:sz="0" w:space="0" w:color="auto"/>
          </w:divBdr>
        </w:div>
        <w:div w:id="888760957">
          <w:blockQuote w:val="1"/>
          <w:marLeft w:val="0"/>
          <w:marRight w:val="0"/>
          <w:marTop w:val="0"/>
          <w:marBottom w:val="0"/>
          <w:divBdr>
            <w:top w:val="none" w:sz="0" w:space="0" w:color="auto"/>
            <w:left w:val="none" w:sz="0" w:space="0" w:color="auto"/>
            <w:bottom w:val="none" w:sz="0" w:space="0" w:color="auto"/>
            <w:right w:val="none" w:sz="0" w:space="0" w:color="auto"/>
          </w:divBdr>
        </w:div>
        <w:div w:id="1436437655">
          <w:blockQuote w:val="1"/>
          <w:marLeft w:val="0"/>
          <w:marRight w:val="0"/>
          <w:marTop w:val="0"/>
          <w:marBottom w:val="0"/>
          <w:divBdr>
            <w:top w:val="none" w:sz="0" w:space="0" w:color="auto"/>
            <w:left w:val="none" w:sz="0" w:space="0" w:color="auto"/>
            <w:bottom w:val="none" w:sz="0" w:space="0" w:color="auto"/>
            <w:right w:val="none" w:sz="0" w:space="0" w:color="auto"/>
          </w:divBdr>
        </w:div>
        <w:div w:id="1671984380">
          <w:blockQuote w:val="1"/>
          <w:marLeft w:val="0"/>
          <w:marRight w:val="0"/>
          <w:marTop w:val="0"/>
          <w:marBottom w:val="0"/>
          <w:divBdr>
            <w:top w:val="none" w:sz="0" w:space="0" w:color="auto"/>
            <w:left w:val="none" w:sz="0" w:space="0" w:color="auto"/>
            <w:bottom w:val="none" w:sz="0" w:space="0" w:color="auto"/>
            <w:right w:val="none" w:sz="0" w:space="0" w:color="auto"/>
          </w:divBdr>
        </w:div>
        <w:div w:id="618730570">
          <w:blockQuote w:val="1"/>
          <w:marLeft w:val="0"/>
          <w:marRight w:val="0"/>
          <w:marTop w:val="0"/>
          <w:marBottom w:val="0"/>
          <w:divBdr>
            <w:top w:val="none" w:sz="0" w:space="0" w:color="auto"/>
            <w:left w:val="none" w:sz="0" w:space="0" w:color="auto"/>
            <w:bottom w:val="none" w:sz="0" w:space="0" w:color="auto"/>
            <w:right w:val="none" w:sz="0" w:space="0" w:color="auto"/>
          </w:divBdr>
        </w:div>
        <w:div w:id="1644693794">
          <w:blockQuote w:val="1"/>
          <w:marLeft w:val="0"/>
          <w:marRight w:val="0"/>
          <w:marTop w:val="0"/>
          <w:marBottom w:val="0"/>
          <w:divBdr>
            <w:top w:val="none" w:sz="0" w:space="0" w:color="auto"/>
            <w:left w:val="none" w:sz="0" w:space="0" w:color="auto"/>
            <w:bottom w:val="none" w:sz="0" w:space="0" w:color="auto"/>
            <w:right w:val="none" w:sz="0" w:space="0" w:color="auto"/>
          </w:divBdr>
        </w:div>
        <w:div w:id="1660498814">
          <w:blockQuote w:val="1"/>
          <w:marLeft w:val="0"/>
          <w:marRight w:val="0"/>
          <w:marTop w:val="0"/>
          <w:marBottom w:val="0"/>
          <w:divBdr>
            <w:top w:val="none" w:sz="0" w:space="0" w:color="auto"/>
            <w:left w:val="none" w:sz="0" w:space="0" w:color="auto"/>
            <w:bottom w:val="none" w:sz="0" w:space="0" w:color="auto"/>
            <w:right w:val="none" w:sz="0" w:space="0" w:color="auto"/>
          </w:divBdr>
        </w:div>
        <w:div w:id="1876502135">
          <w:blockQuote w:val="1"/>
          <w:marLeft w:val="0"/>
          <w:marRight w:val="0"/>
          <w:marTop w:val="0"/>
          <w:marBottom w:val="0"/>
          <w:divBdr>
            <w:top w:val="none" w:sz="0" w:space="0" w:color="auto"/>
            <w:left w:val="none" w:sz="0" w:space="0" w:color="auto"/>
            <w:bottom w:val="none" w:sz="0" w:space="0" w:color="auto"/>
            <w:right w:val="none" w:sz="0" w:space="0" w:color="auto"/>
          </w:divBdr>
        </w:div>
        <w:div w:id="985163380">
          <w:blockQuote w:val="1"/>
          <w:marLeft w:val="0"/>
          <w:marRight w:val="0"/>
          <w:marTop w:val="0"/>
          <w:marBottom w:val="0"/>
          <w:divBdr>
            <w:top w:val="none" w:sz="0" w:space="0" w:color="auto"/>
            <w:left w:val="none" w:sz="0" w:space="0" w:color="auto"/>
            <w:bottom w:val="none" w:sz="0" w:space="0" w:color="auto"/>
            <w:right w:val="none" w:sz="0" w:space="0" w:color="auto"/>
          </w:divBdr>
        </w:div>
        <w:div w:id="500390326">
          <w:blockQuote w:val="1"/>
          <w:marLeft w:val="0"/>
          <w:marRight w:val="0"/>
          <w:marTop w:val="0"/>
          <w:marBottom w:val="0"/>
          <w:divBdr>
            <w:top w:val="none" w:sz="0" w:space="0" w:color="auto"/>
            <w:left w:val="none" w:sz="0" w:space="0" w:color="auto"/>
            <w:bottom w:val="none" w:sz="0" w:space="0" w:color="auto"/>
            <w:right w:val="none" w:sz="0" w:space="0" w:color="auto"/>
          </w:divBdr>
        </w:div>
        <w:div w:id="799418370">
          <w:blockQuote w:val="1"/>
          <w:marLeft w:val="0"/>
          <w:marRight w:val="0"/>
          <w:marTop w:val="0"/>
          <w:marBottom w:val="0"/>
          <w:divBdr>
            <w:top w:val="none" w:sz="0" w:space="0" w:color="auto"/>
            <w:left w:val="none" w:sz="0" w:space="0" w:color="auto"/>
            <w:bottom w:val="none" w:sz="0" w:space="0" w:color="auto"/>
            <w:right w:val="none" w:sz="0" w:space="0" w:color="auto"/>
          </w:divBdr>
        </w:div>
        <w:div w:id="1968508349">
          <w:blockQuote w:val="1"/>
          <w:marLeft w:val="0"/>
          <w:marRight w:val="0"/>
          <w:marTop w:val="0"/>
          <w:marBottom w:val="0"/>
          <w:divBdr>
            <w:top w:val="none" w:sz="0" w:space="0" w:color="auto"/>
            <w:left w:val="none" w:sz="0" w:space="0" w:color="auto"/>
            <w:bottom w:val="none" w:sz="0" w:space="0" w:color="auto"/>
            <w:right w:val="none" w:sz="0" w:space="0" w:color="auto"/>
          </w:divBdr>
        </w:div>
        <w:div w:id="405959713">
          <w:blockQuote w:val="1"/>
          <w:marLeft w:val="0"/>
          <w:marRight w:val="0"/>
          <w:marTop w:val="0"/>
          <w:marBottom w:val="0"/>
          <w:divBdr>
            <w:top w:val="none" w:sz="0" w:space="0" w:color="auto"/>
            <w:left w:val="none" w:sz="0" w:space="0" w:color="auto"/>
            <w:bottom w:val="none" w:sz="0" w:space="0" w:color="auto"/>
            <w:right w:val="none" w:sz="0" w:space="0" w:color="auto"/>
          </w:divBdr>
        </w:div>
        <w:div w:id="1041904814">
          <w:blockQuote w:val="1"/>
          <w:marLeft w:val="0"/>
          <w:marRight w:val="0"/>
          <w:marTop w:val="0"/>
          <w:marBottom w:val="0"/>
          <w:divBdr>
            <w:top w:val="none" w:sz="0" w:space="0" w:color="auto"/>
            <w:left w:val="none" w:sz="0" w:space="0" w:color="auto"/>
            <w:bottom w:val="none" w:sz="0" w:space="0" w:color="auto"/>
            <w:right w:val="none" w:sz="0" w:space="0" w:color="auto"/>
          </w:divBdr>
        </w:div>
        <w:div w:id="343020543">
          <w:marLeft w:val="0"/>
          <w:marRight w:val="0"/>
          <w:marTop w:val="0"/>
          <w:marBottom w:val="0"/>
          <w:divBdr>
            <w:top w:val="none" w:sz="0" w:space="0" w:color="auto"/>
            <w:left w:val="none" w:sz="0" w:space="0" w:color="auto"/>
            <w:bottom w:val="none" w:sz="0" w:space="0" w:color="auto"/>
            <w:right w:val="none" w:sz="0" w:space="0" w:color="auto"/>
          </w:divBdr>
        </w:div>
        <w:div w:id="782312602">
          <w:blockQuote w:val="1"/>
          <w:marLeft w:val="0"/>
          <w:marRight w:val="0"/>
          <w:marTop w:val="0"/>
          <w:marBottom w:val="0"/>
          <w:divBdr>
            <w:top w:val="none" w:sz="0" w:space="0" w:color="auto"/>
            <w:left w:val="none" w:sz="0" w:space="0" w:color="auto"/>
            <w:bottom w:val="none" w:sz="0" w:space="0" w:color="auto"/>
            <w:right w:val="none" w:sz="0" w:space="0" w:color="auto"/>
          </w:divBdr>
        </w:div>
        <w:div w:id="1045790461">
          <w:blockQuote w:val="1"/>
          <w:marLeft w:val="0"/>
          <w:marRight w:val="0"/>
          <w:marTop w:val="0"/>
          <w:marBottom w:val="0"/>
          <w:divBdr>
            <w:top w:val="none" w:sz="0" w:space="0" w:color="auto"/>
            <w:left w:val="none" w:sz="0" w:space="0" w:color="auto"/>
            <w:bottom w:val="none" w:sz="0" w:space="0" w:color="auto"/>
            <w:right w:val="none" w:sz="0" w:space="0" w:color="auto"/>
          </w:divBdr>
        </w:div>
        <w:div w:id="1797480880">
          <w:blockQuote w:val="1"/>
          <w:marLeft w:val="0"/>
          <w:marRight w:val="0"/>
          <w:marTop w:val="0"/>
          <w:marBottom w:val="0"/>
          <w:divBdr>
            <w:top w:val="none" w:sz="0" w:space="0" w:color="auto"/>
            <w:left w:val="none" w:sz="0" w:space="0" w:color="auto"/>
            <w:bottom w:val="none" w:sz="0" w:space="0" w:color="auto"/>
            <w:right w:val="none" w:sz="0" w:space="0" w:color="auto"/>
          </w:divBdr>
        </w:div>
        <w:div w:id="1179927466">
          <w:blockQuote w:val="1"/>
          <w:marLeft w:val="0"/>
          <w:marRight w:val="0"/>
          <w:marTop w:val="0"/>
          <w:marBottom w:val="0"/>
          <w:divBdr>
            <w:top w:val="none" w:sz="0" w:space="0" w:color="auto"/>
            <w:left w:val="none" w:sz="0" w:space="0" w:color="auto"/>
            <w:bottom w:val="none" w:sz="0" w:space="0" w:color="auto"/>
            <w:right w:val="none" w:sz="0" w:space="0" w:color="auto"/>
          </w:divBdr>
        </w:div>
        <w:div w:id="1718552345">
          <w:blockQuote w:val="1"/>
          <w:marLeft w:val="0"/>
          <w:marRight w:val="0"/>
          <w:marTop w:val="0"/>
          <w:marBottom w:val="0"/>
          <w:divBdr>
            <w:top w:val="none" w:sz="0" w:space="0" w:color="auto"/>
            <w:left w:val="none" w:sz="0" w:space="0" w:color="auto"/>
            <w:bottom w:val="none" w:sz="0" w:space="0" w:color="auto"/>
            <w:right w:val="none" w:sz="0" w:space="0" w:color="auto"/>
          </w:divBdr>
        </w:div>
        <w:div w:id="1468545113">
          <w:blockQuote w:val="1"/>
          <w:marLeft w:val="0"/>
          <w:marRight w:val="0"/>
          <w:marTop w:val="0"/>
          <w:marBottom w:val="0"/>
          <w:divBdr>
            <w:top w:val="none" w:sz="0" w:space="0" w:color="auto"/>
            <w:left w:val="none" w:sz="0" w:space="0" w:color="auto"/>
            <w:bottom w:val="none" w:sz="0" w:space="0" w:color="auto"/>
            <w:right w:val="none" w:sz="0" w:space="0" w:color="auto"/>
          </w:divBdr>
        </w:div>
        <w:div w:id="940794969">
          <w:blockQuote w:val="1"/>
          <w:marLeft w:val="0"/>
          <w:marRight w:val="0"/>
          <w:marTop w:val="0"/>
          <w:marBottom w:val="0"/>
          <w:divBdr>
            <w:top w:val="none" w:sz="0" w:space="0" w:color="auto"/>
            <w:left w:val="none" w:sz="0" w:space="0" w:color="auto"/>
            <w:bottom w:val="none" w:sz="0" w:space="0" w:color="auto"/>
            <w:right w:val="none" w:sz="0" w:space="0" w:color="auto"/>
          </w:divBdr>
        </w:div>
        <w:div w:id="1582643305">
          <w:blockQuote w:val="1"/>
          <w:marLeft w:val="0"/>
          <w:marRight w:val="0"/>
          <w:marTop w:val="0"/>
          <w:marBottom w:val="0"/>
          <w:divBdr>
            <w:top w:val="none" w:sz="0" w:space="0" w:color="auto"/>
            <w:left w:val="none" w:sz="0" w:space="0" w:color="auto"/>
            <w:bottom w:val="none" w:sz="0" w:space="0" w:color="auto"/>
            <w:right w:val="none" w:sz="0" w:space="0" w:color="auto"/>
          </w:divBdr>
        </w:div>
        <w:div w:id="823744535">
          <w:blockQuote w:val="1"/>
          <w:marLeft w:val="0"/>
          <w:marRight w:val="0"/>
          <w:marTop w:val="0"/>
          <w:marBottom w:val="0"/>
          <w:divBdr>
            <w:top w:val="none" w:sz="0" w:space="0" w:color="auto"/>
            <w:left w:val="none" w:sz="0" w:space="0" w:color="auto"/>
            <w:bottom w:val="none" w:sz="0" w:space="0" w:color="auto"/>
            <w:right w:val="none" w:sz="0" w:space="0" w:color="auto"/>
          </w:divBdr>
        </w:div>
        <w:div w:id="477116443">
          <w:blockQuote w:val="1"/>
          <w:marLeft w:val="0"/>
          <w:marRight w:val="0"/>
          <w:marTop w:val="0"/>
          <w:marBottom w:val="0"/>
          <w:divBdr>
            <w:top w:val="none" w:sz="0" w:space="0" w:color="auto"/>
            <w:left w:val="none" w:sz="0" w:space="0" w:color="auto"/>
            <w:bottom w:val="none" w:sz="0" w:space="0" w:color="auto"/>
            <w:right w:val="none" w:sz="0" w:space="0" w:color="auto"/>
          </w:divBdr>
        </w:div>
        <w:div w:id="2017806193">
          <w:blockQuote w:val="1"/>
          <w:marLeft w:val="0"/>
          <w:marRight w:val="0"/>
          <w:marTop w:val="0"/>
          <w:marBottom w:val="0"/>
          <w:divBdr>
            <w:top w:val="none" w:sz="0" w:space="0" w:color="auto"/>
            <w:left w:val="none" w:sz="0" w:space="0" w:color="auto"/>
            <w:bottom w:val="none" w:sz="0" w:space="0" w:color="auto"/>
            <w:right w:val="none" w:sz="0" w:space="0" w:color="auto"/>
          </w:divBdr>
        </w:div>
        <w:div w:id="1336303994">
          <w:blockQuote w:val="1"/>
          <w:marLeft w:val="0"/>
          <w:marRight w:val="0"/>
          <w:marTop w:val="0"/>
          <w:marBottom w:val="0"/>
          <w:divBdr>
            <w:top w:val="none" w:sz="0" w:space="0" w:color="auto"/>
            <w:left w:val="none" w:sz="0" w:space="0" w:color="auto"/>
            <w:bottom w:val="none" w:sz="0" w:space="0" w:color="auto"/>
            <w:right w:val="none" w:sz="0" w:space="0" w:color="auto"/>
          </w:divBdr>
        </w:div>
        <w:div w:id="415902408">
          <w:blockQuote w:val="1"/>
          <w:marLeft w:val="0"/>
          <w:marRight w:val="0"/>
          <w:marTop w:val="0"/>
          <w:marBottom w:val="0"/>
          <w:divBdr>
            <w:top w:val="none" w:sz="0" w:space="0" w:color="auto"/>
            <w:left w:val="none" w:sz="0" w:space="0" w:color="auto"/>
            <w:bottom w:val="none" w:sz="0" w:space="0" w:color="auto"/>
            <w:right w:val="none" w:sz="0" w:space="0" w:color="auto"/>
          </w:divBdr>
        </w:div>
        <w:div w:id="1241141506">
          <w:blockQuote w:val="1"/>
          <w:marLeft w:val="0"/>
          <w:marRight w:val="0"/>
          <w:marTop w:val="0"/>
          <w:marBottom w:val="0"/>
          <w:divBdr>
            <w:top w:val="none" w:sz="0" w:space="0" w:color="auto"/>
            <w:left w:val="none" w:sz="0" w:space="0" w:color="auto"/>
            <w:bottom w:val="none" w:sz="0" w:space="0" w:color="auto"/>
            <w:right w:val="none" w:sz="0" w:space="0" w:color="auto"/>
          </w:divBdr>
        </w:div>
        <w:div w:id="1204251527">
          <w:blockQuote w:val="1"/>
          <w:marLeft w:val="0"/>
          <w:marRight w:val="0"/>
          <w:marTop w:val="0"/>
          <w:marBottom w:val="0"/>
          <w:divBdr>
            <w:top w:val="none" w:sz="0" w:space="0" w:color="auto"/>
            <w:left w:val="none" w:sz="0" w:space="0" w:color="auto"/>
            <w:bottom w:val="none" w:sz="0" w:space="0" w:color="auto"/>
            <w:right w:val="none" w:sz="0" w:space="0" w:color="auto"/>
          </w:divBdr>
        </w:div>
        <w:div w:id="1323437298">
          <w:blockQuote w:val="1"/>
          <w:marLeft w:val="0"/>
          <w:marRight w:val="0"/>
          <w:marTop w:val="0"/>
          <w:marBottom w:val="0"/>
          <w:divBdr>
            <w:top w:val="none" w:sz="0" w:space="0" w:color="auto"/>
            <w:left w:val="none" w:sz="0" w:space="0" w:color="auto"/>
            <w:bottom w:val="none" w:sz="0" w:space="0" w:color="auto"/>
            <w:right w:val="none" w:sz="0" w:space="0" w:color="auto"/>
          </w:divBdr>
        </w:div>
        <w:div w:id="868223743">
          <w:blockQuote w:val="1"/>
          <w:marLeft w:val="0"/>
          <w:marRight w:val="0"/>
          <w:marTop w:val="0"/>
          <w:marBottom w:val="0"/>
          <w:divBdr>
            <w:top w:val="none" w:sz="0" w:space="0" w:color="auto"/>
            <w:left w:val="none" w:sz="0" w:space="0" w:color="auto"/>
            <w:bottom w:val="none" w:sz="0" w:space="0" w:color="auto"/>
            <w:right w:val="none" w:sz="0" w:space="0" w:color="auto"/>
          </w:divBdr>
        </w:div>
        <w:div w:id="1984462292">
          <w:blockQuote w:val="1"/>
          <w:marLeft w:val="0"/>
          <w:marRight w:val="0"/>
          <w:marTop w:val="0"/>
          <w:marBottom w:val="0"/>
          <w:divBdr>
            <w:top w:val="none" w:sz="0" w:space="0" w:color="auto"/>
            <w:left w:val="none" w:sz="0" w:space="0" w:color="auto"/>
            <w:bottom w:val="none" w:sz="0" w:space="0" w:color="auto"/>
            <w:right w:val="none" w:sz="0" w:space="0" w:color="auto"/>
          </w:divBdr>
        </w:div>
        <w:div w:id="1733889001">
          <w:blockQuote w:val="1"/>
          <w:marLeft w:val="0"/>
          <w:marRight w:val="0"/>
          <w:marTop w:val="0"/>
          <w:marBottom w:val="0"/>
          <w:divBdr>
            <w:top w:val="none" w:sz="0" w:space="0" w:color="auto"/>
            <w:left w:val="none" w:sz="0" w:space="0" w:color="auto"/>
            <w:bottom w:val="none" w:sz="0" w:space="0" w:color="auto"/>
            <w:right w:val="none" w:sz="0" w:space="0" w:color="auto"/>
          </w:divBdr>
        </w:div>
        <w:div w:id="116873543">
          <w:blockQuote w:val="1"/>
          <w:marLeft w:val="0"/>
          <w:marRight w:val="0"/>
          <w:marTop w:val="0"/>
          <w:marBottom w:val="0"/>
          <w:divBdr>
            <w:top w:val="none" w:sz="0" w:space="0" w:color="auto"/>
            <w:left w:val="none" w:sz="0" w:space="0" w:color="auto"/>
            <w:bottom w:val="none" w:sz="0" w:space="0" w:color="auto"/>
            <w:right w:val="none" w:sz="0" w:space="0" w:color="auto"/>
          </w:divBdr>
        </w:div>
        <w:div w:id="250814487">
          <w:blockQuote w:val="1"/>
          <w:marLeft w:val="0"/>
          <w:marRight w:val="0"/>
          <w:marTop w:val="0"/>
          <w:marBottom w:val="0"/>
          <w:divBdr>
            <w:top w:val="none" w:sz="0" w:space="0" w:color="auto"/>
            <w:left w:val="none" w:sz="0" w:space="0" w:color="auto"/>
            <w:bottom w:val="none" w:sz="0" w:space="0" w:color="auto"/>
            <w:right w:val="none" w:sz="0" w:space="0" w:color="auto"/>
          </w:divBdr>
        </w:div>
        <w:div w:id="405080055">
          <w:blockQuote w:val="1"/>
          <w:marLeft w:val="0"/>
          <w:marRight w:val="0"/>
          <w:marTop w:val="0"/>
          <w:marBottom w:val="0"/>
          <w:divBdr>
            <w:top w:val="none" w:sz="0" w:space="0" w:color="auto"/>
            <w:left w:val="none" w:sz="0" w:space="0" w:color="auto"/>
            <w:bottom w:val="none" w:sz="0" w:space="0" w:color="auto"/>
            <w:right w:val="none" w:sz="0" w:space="0" w:color="auto"/>
          </w:divBdr>
        </w:div>
        <w:div w:id="356319881">
          <w:blockQuote w:val="1"/>
          <w:marLeft w:val="0"/>
          <w:marRight w:val="0"/>
          <w:marTop w:val="0"/>
          <w:marBottom w:val="0"/>
          <w:divBdr>
            <w:top w:val="none" w:sz="0" w:space="0" w:color="auto"/>
            <w:left w:val="none" w:sz="0" w:space="0" w:color="auto"/>
            <w:bottom w:val="none" w:sz="0" w:space="0" w:color="auto"/>
            <w:right w:val="none" w:sz="0" w:space="0" w:color="auto"/>
          </w:divBdr>
        </w:div>
        <w:div w:id="1526944210">
          <w:blockQuote w:val="1"/>
          <w:marLeft w:val="0"/>
          <w:marRight w:val="0"/>
          <w:marTop w:val="0"/>
          <w:marBottom w:val="0"/>
          <w:divBdr>
            <w:top w:val="none" w:sz="0" w:space="0" w:color="auto"/>
            <w:left w:val="none" w:sz="0" w:space="0" w:color="auto"/>
            <w:bottom w:val="none" w:sz="0" w:space="0" w:color="auto"/>
            <w:right w:val="none" w:sz="0" w:space="0" w:color="auto"/>
          </w:divBdr>
        </w:div>
        <w:div w:id="8027447">
          <w:blockQuote w:val="1"/>
          <w:marLeft w:val="0"/>
          <w:marRight w:val="0"/>
          <w:marTop w:val="0"/>
          <w:marBottom w:val="0"/>
          <w:divBdr>
            <w:top w:val="none" w:sz="0" w:space="0" w:color="auto"/>
            <w:left w:val="none" w:sz="0" w:space="0" w:color="auto"/>
            <w:bottom w:val="none" w:sz="0" w:space="0" w:color="auto"/>
            <w:right w:val="none" w:sz="0" w:space="0" w:color="auto"/>
          </w:divBdr>
        </w:div>
        <w:div w:id="1133715245">
          <w:blockQuote w:val="1"/>
          <w:marLeft w:val="0"/>
          <w:marRight w:val="0"/>
          <w:marTop w:val="0"/>
          <w:marBottom w:val="0"/>
          <w:divBdr>
            <w:top w:val="none" w:sz="0" w:space="0" w:color="auto"/>
            <w:left w:val="none" w:sz="0" w:space="0" w:color="auto"/>
            <w:bottom w:val="none" w:sz="0" w:space="0" w:color="auto"/>
            <w:right w:val="none" w:sz="0" w:space="0" w:color="auto"/>
          </w:divBdr>
        </w:div>
        <w:div w:id="439688197">
          <w:blockQuote w:val="1"/>
          <w:marLeft w:val="0"/>
          <w:marRight w:val="0"/>
          <w:marTop w:val="0"/>
          <w:marBottom w:val="0"/>
          <w:divBdr>
            <w:top w:val="none" w:sz="0" w:space="0" w:color="auto"/>
            <w:left w:val="none" w:sz="0" w:space="0" w:color="auto"/>
            <w:bottom w:val="none" w:sz="0" w:space="0" w:color="auto"/>
            <w:right w:val="none" w:sz="0" w:space="0" w:color="auto"/>
          </w:divBdr>
        </w:div>
        <w:div w:id="2338556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3207</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fethia ouechtati</dc:creator>
  <cp:keywords/>
  <dc:description/>
  <cp:lastModifiedBy>fethia ouechtati</cp:lastModifiedBy>
  <cp:revision>1</cp:revision>
  <dcterms:created xsi:type="dcterms:W3CDTF">2021-04-20T10:09:00Z</dcterms:created>
  <dcterms:modified xsi:type="dcterms:W3CDTF">2021-04-20T10:13:00Z</dcterms:modified>
</cp:coreProperties>
</file>